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D" w:rsidRDefault="0030444D" w:rsidP="00304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Условия освобождения от административной ответственности за коррупционное правонарушение</w:t>
      </w:r>
    </w:p>
    <w:p w:rsidR="0030444D" w:rsidRDefault="0030444D" w:rsidP="0030444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5129E" w:rsidRPr="00B37102" w:rsidRDefault="0015129E" w:rsidP="0015129E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 w:rsidRPr="00B37102">
        <w:rPr>
          <w:color w:val="000000"/>
          <w:sz w:val="28"/>
          <w:szCs w:val="28"/>
        </w:rPr>
        <w:t>Информацию подготовил:</w:t>
      </w:r>
    </w:p>
    <w:p w:rsidR="0015129E" w:rsidRDefault="0015129E" w:rsidP="0015129E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 w:rsidRPr="00B37102">
        <w:rPr>
          <w:color w:val="000000"/>
          <w:sz w:val="28"/>
          <w:szCs w:val="28"/>
        </w:rPr>
        <w:t xml:space="preserve">помощник прокурора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Печко</w:t>
      </w:r>
      <w:proofErr w:type="spellEnd"/>
      <w:r>
        <w:rPr>
          <w:color w:val="000000"/>
          <w:sz w:val="28"/>
          <w:szCs w:val="28"/>
        </w:rPr>
        <w:t xml:space="preserve"> Ю.Н.</w:t>
      </w:r>
    </w:p>
    <w:p w:rsidR="00F438D8" w:rsidRPr="00B37102" w:rsidRDefault="00F438D8" w:rsidP="0015129E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</w:p>
    <w:p w:rsidR="002358BA" w:rsidRPr="002358BA" w:rsidRDefault="002358BA" w:rsidP="002358BA">
      <w:pPr>
        <w:pStyle w:val="a3"/>
        <w:spacing w:before="0" w:beforeAutospacing="0" w:after="0" w:afterAutospacing="0"/>
        <w:ind w:firstLine="709"/>
        <w:jc w:val="both"/>
        <w:rPr>
          <w:sz w:val="28"/>
          <w:szCs w:val="36"/>
        </w:rPr>
      </w:pPr>
      <w:proofErr w:type="gramStart"/>
      <w:r w:rsidRPr="002358BA">
        <w:rPr>
          <w:sz w:val="28"/>
          <w:szCs w:val="36"/>
        </w:rPr>
        <w:t xml:space="preserve">Действующим законодательством для юридических лиц установлена административная ответственность по статье 19.28 Кодекса РФ об административных правонарушениях (далее – </w:t>
      </w:r>
      <w:proofErr w:type="spellStart"/>
      <w:r w:rsidRPr="002358BA">
        <w:rPr>
          <w:sz w:val="28"/>
          <w:szCs w:val="36"/>
        </w:rPr>
        <w:t>КоАП</w:t>
      </w:r>
      <w:proofErr w:type="spellEnd"/>
      <w:r w:rsidRPr="002358BA">
        <w:rPr>
          <w:sz w:val="28"/>
          <w:szCs w:val="36"/>
        </w:rPr>
        <w:t xml:space="preserve"> РФ), а именно за </w:t>
      </w:r>
      <w:r w:rsidRPr="002358BA">
        <w:rPr>
          <w:rStyle w:val="blk"/>
          <w:sz w:val="28"/>
          <w:szCs w:val="36"/>
        </w:rPr>
        <w:t>незаконную передачу, предложение или обещание от имени или в интересах юридического лица либо в интересах связанного с ним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</w:t>
      </w:r>
      <w:proofErr w:type="gramEnd"/>
      <w:r w:rsidRPr="002358BA">
        <w:rPr>
          <w:rStyle w:val="blk"/>
          <w:sz w:val="28"/>
          <w:szCs w:val="36"/>
        </w:rPr>
        <w:t xml:space="preserve"> </w:t>
      </w:r>
      <w:proofErr w:type="gramStart"/>
      <w:r w:rsidRPr="002358BA">
        <w:rPr>
          <w:rStyle w:val="blk"/>
          <w:sz w:val="28"/>
          <w:szCs w:val="36"/>
        </w:rPr>
        <w:t>международной организации денег, ценных бумаг или иного имущества, оказание ему услуг имущественного характера либо предоставление ему имущественных прав (в том числе в случае, если по поручению должностного лица, лица, выполняющего управленческие функции в коммерческой или иной организации, иностранного должностного лица либо должностного лица публичной международной организации деньги, ценные бумаги или иное имущество передаются, предлагаются или обещаются, услуги имущественного характера оказываются</w:t>
      </w:r>
      <w:proofErr w:type="gramEnd"/>
      <w:r w:rsidRPr="002358BA">
        <w:rPr>
          <w:rStyle w:val="blk"/>
          <w:sz w:val="28"/>
          <w:szCs w:val="36"/>
        </w:rPr>
        <w:t xml:space="preserve"> </w:t>
      </w:r>
      <w:proofErr w:type="gramStart"/>
      <w:r w:rsidRPr="002358BA">
        <w:rPr>
          <w:rStyle w:val="blk"/>
          <w:sz w:val="28"/>
          <w:szCs w:val="36"/>
        </w:rPr>
        <w:t>либо имущественные права предоставляются иному физическому либо юридическому лицу) за совершение в интересах данного юридического лица либо в интересах связанного с ним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 служебным положением, -</w:t>
      </w:r>
      <w:r w:rsidRPr="002358BA">
        <w:rPr>
          <w:sz w:val="28"/>
          <w:szCs w:val="36"/>
        </w:rPr>
        <w:t xml:space="preserve"> за незаконное вознаграждение от имени юридического лица (коммерческий</w:t>
      </w:r>
      <w:proofErr w:type="gramEnd"/>
      <w:r w:rsidRPr="002358BA">
        <w:rPr>
          <w:sz w:val="28"/>
          <w:szCs w:val="36"/>
        </w:rPr>
        <w:t xml:space="preserve"> подкуп).</w:t>
      </w:r>
    </w:p>
    <w:p w:rsidR="002358BA" w:rsidRPr="002358BA" w:rsidRDefault="002358BA" w:rsidP="002358BA">
      <w:pPr>
        <w:pStyle w:val="a3"/>
        <w:spacing w:before="0" w:beforeAutospacing="0" w:after="0" w:afterAutospacing="0"/>
        <w:ind w:firstLine="709"/>
        <w:jc w:val="both"/>
        <w:rPr>
          <w:sz w:val="28"/>
          <w:szCs w:val="36"/>
        </w:rPr>
      </w:pPr>
      <w:r w:rsidRPr="002358BA">
        <w:rPr>
          <w:sz w:val="28"/>
          <w:szCs w:val="36"/>
        </w:rPr>
        <w:t xml:space="preserve"> Минимальная санкция ст. 19.28 </w:t>
      </w:r>
      <w:proofErr w:type="spellStart"/>
      <w:r w:rsidRPr="002358BA">
        <w:rPr>
          <w:sz w:val="28"/>
          <w:szCs w:val="36"/>
        </w:rPr>
        <w:t>КоАП</w:t>
      </w:r>
      <w:proofErr w:type="spellEnd"/>
      <w:r w:rsidRPr="002358BA">
        <w:rPr>
          <w:sz w:val="28"/>
          <w:szCs w:val="36"/>
        </w:rPr>
        <w:t xml:space="preserve"> РФ в зависимости от квалификации предусматривает наказание в виде административного штрафа в размере одного миллиона рублей с конфискацией денег, ценных бумаг, иного имущества или стоимости услуг имущественного характера, иных имущественных прав. Срок давности привлечения ответственности составляет шесть лет.</w:t>
      </w:r>
    </w:p>
    <w:p w:rsidR="002358BA" w:rsidRPr="002358BA" w:rsidRDefault="002358BA" w:rsidP="002358BA">
      <w:pPr>
        <w:pStyle w:val="a3"/>
        <w:spacing w:before="0" w:beforeAutospacing="0" w:after="0" w:afterAutospacing="0"/>
        <w:ind w:firstLine="709"/>
        <w:jc w:val="both"/>
        <w:rPr>
          <w:sz w:val="28"/>
          <w:szCs w:val="36"/>
        </w:rPr>
      </w:pPr>
      <w:r w:rsidRPr="002358BA">
        <w:rPr>
          <w:sz w:val="28"/>
          <w:szCs w:val="36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2358BA" w:rsidRPr="002358BA" w:rsidRDefault="002358BA" w:rsidP="002358BA">
      <w:pPr>
        <w:pStyle w:val="a3"/>
        <w:spacing w:before="0" w:beforeAutospacing="0" w:after="0" w:afterAutospacing="0"/>
        <w:ind w:firstLine="709"/>
        <w:jc w:val="both"/>
        <w:rPr>
          <w:sz w:val="28"/>
          <w:szCs w:val="36"/>
        </w:rPr>
      </w:pPr>
      <w:proofErr w:type="gramStart"/>
      <w:r w:rsidRPr="002358BA">
        <w:rPr>
          <w:sz w:val="28"/>
          <w:szCs w:val="36"/>
        </w:rPr>
        <w:t xml:space="preserve">Так, например, для организаций, привлеченных к административной ответственности по статье 19.28 </w:t>
      </w:r>
      <w:proofErr w:type="spellStart"/>
      <w:r w:rsidRPr="002358BA">
        <w:rPr>
          <w:sz w:val="28"/>
          <w:szCs w:val="36"/>
        </w:rPr>
        <w:t>КоАП</w:t>
      </w:r>
      <w:proofErr w:type="spellEnd"/>
      <w:r w:rsidRPr="002358BA">
        <w:rPr>
          <w:sz w:val="28"/>
          <w:szCs w:val="36"/>
        </w:rPr>
        <w:t xml:space="preserve"> РФ, устанавливается двухлетний запрет на участие в закупках для государственных и муниципальных нужд, установленный требованиями пункта 7.1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Pr="002358BA">
        <w:rPr>
          <w:sz w:val="28"/>
          <w:szCs w:val="36"/>
        </w:rPr>
        <w:lastRenderedPageBreak/>
        <w:t>нужд».</w:t>
      </w:r>
      <w:proofErr w:type="gramEnd"/>
      <w:r w:rsidRPr="002358BA">
        <w:rPr>
          <w:sz w:val="28"/>
          <w:szCs w:val="36"/>
        </w:rPr>
        <w:t xml:space="preserve"> Сведения о данном факте вносятся в Реестр юридических лиц, привлеченных к административной ответственности по статье 19.28 </w:t>
      </w:r>
      <w:proofErr w:type="spellStart"/>
      <w:r w:rsidRPr="002358BA">
        <w:rPr>
          <w:sz w:val="28"/>
          <w:szCs w:val="36"/>
        </w:rPr>
        <w:t>КоАП</w:t>
      </w:r>
      <w:proofErr w:type="spellEnd"/>
      <w:r w:rsidRPr="002358BA">
        <w:rPr>
          <w:sz w:val="28"/>
          <w:szCs w:val="36"/>
        </w:rPr>
        <w:t xml:space="preserve"> РФ, ведение реестра обеспечивает Генеральная прокуратура РФ, а сам реестр находится в общем доступе на официальном сайте прокуратуры </w:t>
      </w:r>
      <w:hyperlink r:id="rId4" w:history="1">
        <w:r w:rsidRPr="002358BA">
          <w:rPr>
            <w:rStyle w:val="a4"/>
            <w:sz w:val="28"/>
            <w:szCs w:val="36"/>
          </w:rPr>
          <w:t>https://genproc.gov.ru/anticor/register-of-illegal-remuneration/</w:t>
        </w:r>
      </w:hyperlink>
      <w:proofErr w:type="gramStart"/>
      <w:r w:rsidRPr="002358BA">
        <w:rPr>
          <w:sz w:val="28"/>
          <w:szCs w:val="36"/>
        </w:rPr>
        <w:t xml:space="preserve"> )</w:t>
      </w:r>
      <w:proofErr w:type="gramEnd"/>
      <w:r w:rsidRPr="002358BA">
        <w:rPr>
          <w:sz w:val="28"/>
          <w:szCs w:val="36"/>
        </w:rPr>
        <w:t>.</w:t>
      </w:r>
    </w:p>
    <w:p w:rsidR="002358BA" w:rsidRPr="002358BA" w:rsidRDefault="00ED224D" w:rsidP="002358BA">
      <w:pPr>
        <w:pStyle w:val="a3"/>
        <w:spacing w:before="0" w:beforeAutospacing="0" w:after="0" w:afterAutospacing="0"/>
        <w:ind w:firstLine="709"/>
        <w:jc w:val="both"/>
        <w:rPr>
          <w:rStyle w:val="blk"/>
          <w:sz w:val="20"/>
        </w:rPr>
      </w:pPr>
      <w:proofErr w:type="gramStart"/>
      <w:r>
        <w:rPr>
          <w:sz w:val="28"/>
          <w:szCs w:val="36"/>
        </w:rPr>
        <w:t>Вместе с тем, в примечании</w:t>
      </w:r>
      <w:r w:rsidR="002358BA" w:rsidRPr="002358BA">
        <w:rPr>
          <w:sz w:val="28"/>
          <w:szCs w:val="36"/>
        </w:rPr>
        <w:t xml:space="preserve"> к статье 19.28 </w:t>
      </w:r>
      <w:proofErr w:type="spellStart"/>
      <w:r w:rsidR="002358BA" w:rsidRPr="002358BA">
        <w:rPr>
          <w:sz w:val="28"/>
          <w:szCs w:val="36"/>
        </w:rPr>
        <w:t>КоАП</w:t>
      </w:r>
      <w:proofErr w:type="spellEnd"/>
      <w:r w:rsidR="002358BA" w:rsidRPr="002358BA">
        <w:rPr>
          <w:sz w:val="28"/>
          <w:szCs w:val="36"/>
        </w:rPr>
        <w:t xml:space="preserve"> РФ указано, что </w:t>
      </w:r>
      <w:r w:rsidR="002358BA" w:rsidRPr="002358BA">
        <w:rPr>
          <w:rStyle w:val="blk"/>
          <w:sz w:val="28"/>
          <w:szCs w:val="36"/>
        </w:rPr>
        <w:t>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2358BA" w:rsidRPr="002358BA" w:rsidRDefault="002358BA" w:rsidP="002358BA">
      <w:pPr>
        <w:pStyle w:val="a3"/>
        <w:spacing w:before="0" w:beforeAutospacing="0" w:after="0" w:afterAutospacing="0"/>
        <w:ind w:firstLine="709"/>
        <w:jc w:val="both"/>
        <w:rPr>
          <w:sz w:val="20"/>
        </w:rPr>
      </w:pPr>
      <w:r w:rsidRPr="002358BA">
        <w:rPr>
          <w:sz w:val="28"/>
          <w:szCs w:val="36"/>
        </w:rPr>
        <w:t>В свою очередь, указанная  норма закона  направлена на своевременное информирование хозяйствующими субъектами правоохранительных органов о фактах преступной деятельности должностных лиц, и является одним из необходимых факторов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коррупции.</w:t>
      </w:r>
    </w:p>
    <w:p w:rsidR="002358BA" w:rsidRPr="002358BA" w:rsidRDefault="002358BA" w:rsidP="002358BA">
      <w:pPr>
        <w:pStyle w:val="ConsPlusNormal"/>
        <w:ind w:firstLine="540"/>
        <w:jc w:val="both"/>
        <w:rPr>
          <w:sz w:val="28"/>
          <w:szCs w:val="36"/>
        </w:rPr>
      </w:pPr>
      <w:r w:rsidRPr="002358BA">
        <w:rPr>
          <w:sz w:val="28"/>
          <w:szCs w:val="36"/>
        </w:rPr>
        <w:t xml:space="preserve">Кроме того, следует отметить, что приказ МВД России от 06.06.2018 № 356 позволяет в случае возникновения у органов полиции необходимости обращения к помощи граждан в целях раскрытия преступлений и задержания лиц, их совершивших, принимать решение о назначении вознаграждения. Согласно данному приказу размер вознаграждения может составлять от нескольких тысяч до трех миллионов рублей. Объявления о вознаграждении публикуются на официальном сайте МВД России. Решение о его выплате будет приниматься после задержания преступника. </w:t>
      </w:r>
    </w:p>
    <w:p w:rsidR="002358BA" w:rsidRPr="002358BA" w:rsidRDefault="002358BA" w:rsidP="002358BA">
      <w:pPr>
        <w:pStyle w:val="ConsPlusNormal"/>
        <w:ind w:firstLine="540"/>
        <w:jc w:val="both"/>
        <w:rPr>
          <w:sz w:val="28"/>
          <w:szCs w:val="36"/>
        </w:rPr>
      </w:pPr>
      <w:r w:rsidRPr="002358BA">
        <w:rPr>
          <w:sz w:val="28"/>
          <w:szCs w:val="36"/>
        </w:rPr>
        <w:t>В случае принятия решения о выплате вознаграждения, МВД России должно уведомить об этом гражданина в течение 14 дней со дня издания приказа. В случае отказа в выплате вознаграждения гражданин узнает об этом в течение 7 дней со дня утверждения соответствующего заключения. Вознаграждение можно будет получить как наличными деньгами, так и безналичным путем.</w:t>
      </w:r>
    </w:p>
    <w:p w:rsidR="002358BA" w:rsidRPr="002358BA" w:rsidRDefault="002358BA" w:rsidP="002358BA">
      <w:pPr>
        <w:pStyle w:val="ConsPlusNormal"/>
        <w:ind w:firstLine="540"/>
        <w:jc w:val="both"/>
        <w:rPr>
          <w:sz w:val="28"/>
          <w:szCs w:val="36"/>
        </w:rPr>
      </w:pPr>
      <w:r w:rsidRPr="002358BA">
        <w:rPr>
          <w:sz w:val="28"/>
          <w:szCs w:val="36"/>
        </w:rPr>
        <w:t>Указанный механизм направлен на профилактику и пресечение коррупционных правонарушений.</w:t>
      </w:r>
    </w:p>
    <w:p w:rsidR="00B248ED" w:rsidRPr="002358BA" w:rsidRDefault="00B248ED" w:rsidP="00235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sectPr w:rsidR="00B248ED" w:rsidRPr="002358BA" w:rsidSect="007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42C9"/>
    <w:rsid w:val="0015129E"/>
    <w:rsid w:val="001966A5"/>
    <w:rsid w:val="002358BA"/>
    <w:rsid w:val="0030444D"/>
    <w:rsid w:val="0073748F"/>
    <w:rsid w:val="007D30F9"/>
    <w:rsid w:val="008733F3"/>
    <w:rsid w:val="00931309"/>
    <w:rsid w:val="00A12EB9"/>
    <w:rsid w:val="00A2039E"/>
    <w:rsid w:val="00B248ED"/>
    <w:rsid w:val="00E942C9"/>
    <w:rsid w:val="00EA0548"/>
    <w:rsid w:val="00EC1A7A"/>
    <w:rsid w:val="00ED224D"/>
    <w:rsid w:val="00F438D8"/>
    <w:rsid w:val="00FD07E2"/>
    <w:rsid w:val="00FF3C23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F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42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2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942C9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358BA"/>
    <w:rPr>
      <w:color w:val="0563C1" w:themeColor="hyperlink"/>
      <w:u w:val="single"/>
    </w:rPr>
  </w:style>
  <w:style w:type="paragraph" w:customStyle="1" w:styleId="ConsPlusNormal">
    <w:name w:val="ConsPlusNormal"/>
    <w:uiPriority w:val="99"/>
    <w:semiHidden/>
    <w:rsid w:val="002358BA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23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proc.gov.ru/anticor/register-of-illegal-remun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2019-12-04T06:34:00Z</dcterms:created>
  <dcterms:modified xsi:type="dcterms:W3CDTF">2019-12-17T00:16:00Z</dcterms:modified>
</cp:coreProperties>
</file>